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4319" w14:textId="1AF65F5F" w:rsidR="005B1469" w:rsidRPr="00A2303B" w:rsidRDefault="004C598A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8"/>
          <w:szCs w:val="28"/>
          <w:lang w:eastAsia="zh-CN"/>
        </w:rPr>
      </w:pPr>
      <w:r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国税局提示</w:t>
      </w:r>
      <w:r w:rsidR="00FC0054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：</w:t>
      </w:r>
      <w:r w:rsidR="005B1469"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重要的备用预扣</w:t>
      </w:r>
      <w:r w:rsidR="00DF1524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税款</w:t>
      </w:r>
      <w:r w:rsidR="005B1469"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8"/>
          <w:szCs w:val="28"/>
          <w:lang w:eastAsia="zh-CN"/>
        </w:rPr>
        <w:t>截止日</w:t>
      </w:r>
    </w:p>
    <w:p w14:paraId="1453031B" w14:textId="592953DF" w:rsidR="005B1469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FS-2023-</w:t>
      </w:r>
      <w:r w:rsidR="002E3D06">
        <w:rPr>
          <w:rFonts w:ascii="Microsoft YaHei" w:eastAsia="Microsoft YaHei" w:hAnsi="Microsoft YaHei"/>
          <w:sz w:val="20"/>
          <w:szCs w:val="20"/>
          <w:lang w:eastAsia="zh-CN"/>
        </w:rPr>
        <w:t>03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，2023 年 1 月</w:t>
      </w:r>
    </w:p>
    <w:p w14:paraId="370DAB93" w14:textId="77777777" w:rsidR="00FC0054" w:rsidRPr="00A2303B" w:rsidRDefault="00FC0054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FAAE14C" w14:textId="71DA8B53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华府 — 一些企业和</w:t>
      </w:r>
      <w:r w:rsidR="004318F5">
        <w:rPr>
          <w:rFonts w:ascii="Microsoft YaHei" w:eastAsia="Microsoft YaHei" w:hAnsi="Microsoft YaHei" w:hint="eastAsia"/>
          <w:sz w:val="20"/>
          <w:szCs w:val="20"/>
          <w:lang w:eastAsia="zh-CN"/>
        </w:rPr>
        <w:t>其他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付款人从他们</w:t>
      </w:r>
      <w:r w:rsidR="00492118">
        <w:rPr>
          <w:rFonts w:ascii="Microsoft YaHei" w:eastAsia="Microsoft YaHei" w:hAnsi="Microsoft YaHei" w:hint="eastAsia"/>
          <w:sz w:val="20"/>
          <w:szCs w:val="20"/>
          <w:lang w:eastAsia="zh-CN"/>
        </w:rPr>
        <w:t>向某些人的付款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中</w:t>
      </w:r>
      <w:r w:rsidR="00492118">
        <w:rPr>
          <w:rFonts w:ascii="Microsoft YaHei" w:eastAsia="Microsoft YaHei" w:hAnsi="Microsoft YaHei" w:hint="eastAsia"/>
          <w:sz w:val="20"/>
          <w:szCs w:val="20"/>
          <w:lang w:eastAsia="zh-CN"/>
        </w:rPr>
        <w:t>预扣款项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，以作备用预扣</w:t>
      </w:r>
      <w:r w:rsidR="00492118">
        <w:rPr>
          <w:rFonts w:ascii="Microsoft YaHei" w:eastAsia="Microsoft YaHei" w:hAnsi="Microsoft YaHei" w:hint="eastAsia"/>
          <w:sz w:val="20"/>
          <w:szCs w:val="20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。这些付款方应记住</w:t>
      </w:r>
      <w:r w:rsidR="00492118">
        <w:rPr>
          <w:rFonts w:ascii="Microsoft YaHei" w:eastAsia="Microsoft YaHei" w:hAnsi="Microsoft YaHei" w:hint="eastAsia"/>
          <w:sz w:val="20"/>
          <w:szCs w:val="20"/>
          <w:lang w:eastAsia="zh-CN"/>
        </w:rPr>
        <w:t>他们接下来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="00492118">
        <w:rPr>
          <w:rFonts w:ascii="Microsoft YaHei" w:eastAsia="Microsoft YaHei" w:hAnsi="Microsoft YaHei" w:hint="eastAsia"/>
          <w:sz w:val="20"/>
          <w:szCs w:val="20"/>
          <w:lang w:eastAsia="zh-CN"/>
        </w:rPr>
        <w:t>申报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截止日。</w:t>
      </w:r>
    </w:p>
    <w:p w14:paraId="69920D2E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3107F1F" w14:textId="23C041DF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什么是备用预扣</w:t>
      </w:r>
      <w:r w:rsidR="00DF1524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？</w:t>
      </w:r>
    </w:p>
    <w:p w14:paraId="4AE980D5" w14:textId="6375E403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企业和其他付款人通常不会从</w:t>
      </w:r>
      <w:r w:rsidR="007241DC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1099和W-2G上报告的</w:t>
      </w:r>
      <w:r w:rsidR="007241DC">
        <w:rPr>
          <w:rFonts w:ascii="Microsoft YaHei" w:eastAsia="Microsoft YaHei" w:hAnsi="Microsoft YaHei" w:hint="eastAsia"/>
          <w:sz w:val="20"/>
          <w:szCs w:val="20"/>
          <w:lang w:eastAsia="zh-CN"/>
        </w:rPr>
        <w:t>付款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中预扣税款。但是，在某些情况下，付款人必须预扣24%的付款</w:t>
      </w:r>
      <w:r w:rsidR="0004595B">
        <w:rPr>
          <w:rFonts w:ascii="Microsoft YaHei" w:eastAsia="Microsoft YaHei" w:hAnsi="Microsoft YaHei" w:hint="eastAsia"/>
          <w:sz w:val="20"/>
          <w:szCs w:val="20"/>
          <w:lang w:eastAsia="zh-CN"/>
        </w:rPr>
        <w:t>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确保国税局收到</w:t>
      </w:r>
      <w:r w:rsidR="0004595B">
        <w:rPr>
          <w:rFonts w:ascii="Microsoft YaHei" w:eastAsia="Microsoft YaHei" w:hAnsi="Microsoft YaHei" w:hint="eastAsia"/>
          <w:sz w:val="20"/>
          <w:szCs w:val="20"/>
          <w:lang w:eastAsia="zh-CN"/>
        </w:rPr>
        <w:t>该笔收入的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应纳税款。这</w:t>
      </w:r>
      <w:r w:rsidR="00D95BD7">
        <w:rPr>
          <w:rFonts w:ascii="Microsoft YaHei" w:eastAsia="Microsoft YaHei" w:hAnsi="Microsoft YaHei" w:hint="eastAsia"/>
          <w:sz w:val="20"/>
          <w:szCs w:val="20"/>
          <w:lang w:eastAsia="zh-CN"/>
        </w:rPr>
        <w:t>被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称为备用预扣</w:t>
      </w:r>
      <w:r w:rsidR="00D95BD7">
        <w:rPr>
          <w:rFonts w:ascii="Microsoft YaHei" w:eastAsia="Microsoft YaHei" w:hAnsi="Microsoft YaHei" w:hint="eastAsia"/>
          <w:sz w:val="20"/>
          <w:szCs w:val="20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。预扣</w:t>
      </w:r>
      <w:r w:rsidR="00D95BD7">
        <w:rPr>
          <w:rFonts w:ascii="Microsoft YaHei" w:eastAsia="Microsoft YaHei" w:hAnsi="Microsoft YaHei" w:hint="eastAsia"/>
          <w:sz w:val="20"/>
          <w:szCs w:val="20"/>
          <w:lang w:eastAsia="zh-CN"/>
        </w:rPr>
        <w:t>款项用于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备用预扣税的付款人必须将预扣款存入国税局。有关备用预扣</w:t>
      </w:r>
      <w:r w:rsidR="00DC7DD9">
        <w:rPr>
          <w:rFonts w:ascii="Microsoft YaHei" w:eastAsia="Microsoft YaHei" w:hAnsi="Microsoft YaHei" w:hint="eastAsia"/>
          <w:sz w:val="20"/>
          <w:szCs w:val="20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的更多信息，请参阅IRS.gov上的页面：</w:t>
      </w:r>
      <w:hyperlink r:id="rId12" w:history="1">
        <w:r w:rsidR="00DC7DD9"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备用预扣税款（英文）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和</w:t>
      </w:r>
      <w:hyperlink r:id="rId13" w:history="1">
        <w:r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主题 307</w:t>
        </w:r>
        <w:r w:rsidR="00DC7DD9"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：</w:t>
        </w:r>
        <w:r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备用预扣</w:t>
        </w:r>
        <w:r w:rsidR="00DC7DD9"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税款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。另请参阅</w:t>
      </w:r>
      <w:hyperlink r:id="rId14" w:history="1">
        <w:r w:rsidR="00DC7DD9"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第</w:t>
        </w:r>
        <w:r w:rsidR="00DC7DD9" w:rsidRPr="00DC7DD9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1281号出版物，丢失与错误名称/纳税人识别号码TIN的备用预扣税款（英文）</w:t>
        </w:r>
      </w:hyperlink>
      <w:r w:rsidR="00DC7DD9">
        <w:rPr>
          <w:rFonts w:ascii="Microsoft YaHei" w:eastAsia="Microsoft YaHei" w:hAnsi="Microsoft YaHei" w:hint="eastAsia"/>
          <w:sz w:val="20"/>
          <w:szCs w:val="20"/>
          <w:lang w:eastAsia="zh-CN"/>
        </w:rPr>
        <w:t>以及</w:t>
      </w:r>
      <w:hyperlink r:id="rId15" w:history="1">
        <w:r w:rsidR="00DC7DD9" w:rsidRPr="00DC7DD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第</w:t>
        </w:r>
        <w:r w:rsidR="00DC7DD9" w:rsidRPr="00DC7DD9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15号出版物，雇主税务指南（英文）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7B004A89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5385DD5" w14:textId="37A76AFB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2022纳税年度备用预扣</w:t>
      </w:r>
      <w:r w:rsidR="00DF1524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年度申报表提交截止日期</w:t>
      </w:r>
    </w:p>
    <w:p w14:paraId="6E749C27" w14:textId="554280B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付款人</w:t>
      </w:r>
      <w:r w:rsidR="005D19CC">
        <w:rPr>
          <w:rFonts w:ascii="Microsoft YaHei" w:eastAsia="Microsoft YaHei" w:hAnsi="Microsoft YaHei" w:hint="eastAsia"/>
          <w:sz w:val="20"/>
          <w:szCs w:val="20"/>
          <w:lang w:eastAsia="zh-CN"/>
        </w:rPr>
        <w:t>必须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在</w:t>
      </w:r>
      <w:hyperlink r:id="rId16" w:history="1">
        <w:r w:rsidR="005D19CC" w:rsidRPr="005D19CC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表格</w:t>
        </w:r>
        <w:r w:rsidR="005D19CC" w:rsidRPr="005D19CC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945，预扣联邦所得税年度申报表（英文）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中报告其备用预扣税和从非工资</w:t>
      </w:r>
      <w:r w:rsidR="005D19CC">
        <w:rPr>
          <w:rFonts w:ascii="Microsoft YaHei" w:eastAsia="Microsoft YaHei" w:hAnsi="Microsoft YaHei" w:hint="eastAsia"/>
          <w:sz w:val="20"/>
          <w:szCs w:val="20"/>
          <w:lang w:eastAsia="zh-CN"/>
        </w:rPr>
        <w:t>付款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中预扣的任何其它联邦所得税</w:t>
      </w:r>
      <w:r w:rsidR="005D19CC">
        <w:rPr>
          <w:rFonts w:ascii="Microsoft YaHei" w:eastAsia="Microsoft YaHei" w:hAnsi="Microsoft YaHei" w:hint="eastAsia"/>
          <w:sz w:val="20"/>
          <w:szCs w:val="20"/>
          <w:lang w:eastAsia="zh-CN"/>
        </w:rPr>
        <w:t>的纳税义务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。提交2022纳税年度</w:t>
      </w:r>
      <w:r w:rsidR="00FB18B9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945的最后一天</w:t>
      </w:r>
      <w:r w:rsidR="00FB18B9">
        <w:rPr>
          <w:rFonts w:ascii="Microsoft YaHei" w:eastAsia="Microsoft YaHei" w:hAnsi="Microsoft YaHei" w:hint="eastAsia"/>
          <w:sz w:val="20"/>
          <w:szCs w:val="20"/>
          <w:lang w:eastAsia="zh-CN"/>
        </w:rPr>
        <w:t>为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2023年1月31日。但是，如果付款人按时全额存款，提交的最后一天</w:t>
      </w:r>
      <w:r w:rsidR="00FB18B9">
        <w:rPr>
          <w:rFonts w:ascii="Microsoft YaHei" w:eastAsia="Microsoft YaHei" w:hAnsi="Microsoft YaHei" w:hint="eastAsia"/>
          <w:sz w:val="20"/>
          <w:szCs w:val="20"/>
          <w:lang w:eastAsia="zh-CN"/>
        </w:rPr>
        <w:t>为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2023年2月10日。纳税人可以查看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945的说明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来了解申报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详情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，以及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第15号出版物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第11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章节来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了解有关缴纳联邦</w:t>
      </w:r>
      <w:r w:rsidR="008359F0">
        <w:rPr>
          <w:rFonts w:ascii="Microsoft YaHei" w:eastAsia="Microsoft YaHei" w:hAnsi="Microsoft YaHei" w:hint="eastAsia"/>
          <w:sz w:val="20"/>
          <w:szCs w:val="20"/>
          <w:lang w:eastAsia="zh-CN"/>
        </w:rPr>
        <w:t>税务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存款的信息。</w:t>
      </w:r>
    </w:p>
    <w:p w14:paraId="0A9773F7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6F487E81" w14:textId="3E669603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用于</w:t>
      </w:r>
      <w:r w:rsidR="00A87F51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报告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备用预扣</w:t>
      </w:r>
      <w:r w:rsidR="008D1370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的</w:t>
      </w:r>
      <w:r w:rsidR="00A476C2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税务资料申报表</w:t>
      </w:r>
    </w:p>
    <w:p w14:paraId="4B2A0868" w14:textId="48F3DC15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下面列出的</w:t>
      </w:r>
      <w:r w:rsidR="002910E5">
        <w:rPr>
          <w:rFonts w:ascii="Microsoft YaHei" w:eastAsia="Microsoft YaHei" w:hAnsi="Microsoft YaHei" w:hint="eastAsia"/>
          <w:sz w:val="20"/>
          <w:szCs w:val="20"/>
          <w:lang w:eastAsia="zh-CN"/>
        </w:rPr>
        <w:t>税务信息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申报表用于向国税局和收款人报告2022纳税年度的</w:t>
      </w:r>
      <w:r w:rsidR="002910E5">
        <w:rPr>
          <w:rFonts w:ascii="Microsoft YaHei" w:eastAsia="Microsoft YaHei" w:hAnsi="Microsoft YaHei" w:hint="eastAsia"/>
          <w:sz w:val="20"/>
          <w:szCs w:val="20"/>
          <w:lang w:eastAsia="zh-CN"/>
        </w:rPr>
        <w:t>备用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预扣</w:t>
      </w:r>
      <w:r w:rsidR="002910E5">
        <w:rPr>
          <w:rFonts w:ascii="Microsoft YaHei" w:eastAsia="Microsoft YaHei" w:hAnsi="Microsoft YaHei" w:hint="eastAsia"/>
          <w:sz w:val="20"/>
          <w:szCs w:val="20"/>
          <w:lang w:eastAsia="zh-CN"/>
        </w:rPr>
        <w:t>税款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：</w:t>
      </w:r>
    </w:p>
    <w:p w14:paraId="26916D34" w14:textId="78E6D0C8" w:rsidR="005B1469" w:rsidRPr="00A2303B" w:rsidRDefault="00CB019A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1099-B，经纪人和</w:t>
      </w:r>
      <w:r w:rsidR="009B06F1">
        <w:rPr>
          <w:rFonts w:ascii="Microsoft YaHei" w:eastAsia="Microsoft YaHei" w:hAnsi="Microsoft YaHei" w:hint="eastAsia"/>
          <w:sz w:val="20"/>
          <w:szCs w:val="20"/>
          <w:lang w:eastAsia="zh-CN"/>
        </w:rPr>
        <w:t>以物易物交换的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交易收益</w:t>
      </w:r>
    </w:p>
    <w:p w14:paraId="34171B30" w14:textId="11EECD61" w:rsidR="005B1469" w:rsidRPr="00A2303B" w:rsidRDefault="00CB019A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</w:rPr>
        <w:t>1099-DIV，股息和分配</w:t>
      </w:r>
    </w:p>
    <w:p w14:paraId="757ADC39" w14:textId="1FEF19A1" w:rsidR="005B1469" w:rsidRPr="00A2303B" w:rsidRDefault="00CB019A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</w:rPr>
        <w:t>1099-G，某些政府付款</w:t>
      </w:r>
    </w:p>
    <w:p w14:paraId="055F641B" w14:textId="08A4DCBA" w:rsidR="005B1469" w:rsidRPr="00A2303B" w:rsidRDefault="00CB019A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</w:rPr>
        <w:t>1099-INT，利息收入</w:t>
      </w:r>
    </w:p>
    <w:p w14:paraId="37901AC7" w14:textId="2C32FFAE" w:rsidR="005B1469" w:rsidRPr="00A2303B" w:rsidRDefault="00CB019A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1099-K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，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支付卡和第三方网络交易</w:t>
      </w:r>
    </w:p>
    <w:p w14:paraId="2E601C43" w14:textId="77777777" w:rsidR="005B1469" w:rsidRPr="00A2303B" w:rsidRDefault="005B1469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表格 1099-MISC，杂项信息</w:t>
      </w:r>
    </w:p>
    <w:p w14:paraId="3828F342" w14:textId="2E3B6BBC" w:rsidR="005B1469" w:rsidRPr="00A2303B" w:rsidRDefault="00655A73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1099-NEC，非雇员补偿</w:t>
      </w:r>
    </w:p>
    <w:p w14:paraId="1608F84E" w14:textId="586240AD" w:rsidR="005B1469" w:rsidRPr="00A2303B" w:rsidRDefault="003D7969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</w:rPr>
        <w:t>1099-OID，原始发行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折价</w:t>
      </w:r>
    </w:p>
    <w:p w14:paraId="712A8D31" w14:textId="3EBECBCD" w:rsidR="005B1469" w:rsidRPr="00A2303B" w:rsidRDefault="00655A73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1099-PATR，从合作社收到的应税分配</w:t>
      </w:r>
    </w:p>
    <w:p w14:paraId="08778E3C" w14:textId="54F22AFE" w:rsidR="005B1469" w:rsidRPr="00A2303B" w:rsidRDefault="005B1469" w:rsidP="005B1469">
      <w:pPr>
        <w:pStyle w:val="ListParagraph"/>
        <w:widowControl/>
        <w:numPr>
          <w:ilvl w:val="0"/>
          <w:numId w:val="18"/>
        </w:numPr>
        <w:autoSpaceDE/>
        <w:autoSpaceDN/>
        <w:spacing w:after="160" w:line="259" w:lineRule="auto"/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表格W-2G，某些赌博</w:t>
      </w:r>
      <w:r w:rsidR="00655A73">
        <w:rPr>
          <w:rFonts w:ascii="Microsoft YaHei" w:eastAsia="Microsoft YaHei" w:hAnsi="Microsoft YaHei" w:hint="eastAsia"/>
          <w:sz w:val="20"/>
          <w:szCs w:val="20"/>
          <w:lang w:eastAsia="zh-CN"/>
        </w:rPr>
        <w:t>收益</w:t>
      </w:r>
    </w:p>
    <w:p w14:paraId="065A9573" w14:textId="3EAE6D96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提交</w:t>
      </w:r>
      <w:r w:rsidR="00A71ED5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税务资料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申报表的截止日期</w:t>
      </w:r>
    </w:p>
    <w:p w14:paraId="5C24150C" w14:textId="0F14CB4D" w:rsidR="005B1469" w:rsidRPr="00A2303B" w:rsidRDefault="00CC2BB2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一般向国税局申报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以上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所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列的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的截止</w:t>
      </w:r>
      <w:r w:rsidR="00613E6D">
        <w:rPr>
          <w:rFonts w:ascii="Microsoft YaHei" w:eastAsia="Microsoft YaHei" w:hAnsi="Microsoft YaHei" w:hint="eastAsia"/>
          <w:sz w:val="20"/>
          <w:szCs w:val="20"/>
          <w:lang w:eastAsia="zh-CN"/>
        </w:rPr>
        <w:t>日期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为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2023年2月28日（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适用于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纸质申报者）和2023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lastRenderedPageBreak/>
        <w:t>年3月31日（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适用于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电子申报者）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，表格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1099-NEC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除外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1099-NEC的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申报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截止</w:t>
      </w:r>
      <w:r w:rsidR="00613E6D">
        <w:rPr>
          <w:rFonts w:ascii="Microsoft YaHei" w:eastAsia="Microsoft YaHei" w:hAnsi="Microsoft YaHei" w:hint="eastAsia"/>
          <w:sz w:val="20"/>
          <w:szCs w:val="20"/>
          <w:lang w:eastAsia="zh-CN"/>
        </w:rPr>
        <w:t>日期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为2023年1月31日</w:t>
      </w:r>
      <w:r w:rsidR="003E4275">
        <w:rPr>
          <w:rFonts w:ascii="Microsoft YaHei" w:eastAsia="Microsoft YaHei" w:hAnsi="Microsoft YaHei" w:hint="eastAsia"/>
          <w:sz w:val="20"/>
          <w:szCs w:val="20"/>
          <w:lang w:eastAsia="zh-CN"/>
        </w:rPr>
        <w:t>（纸质与电子申报均适用）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6F485701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53EC5E9" w14:textId="52FC1E7B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提供</w:t>
      </w:r>
      <w:r w:rsidR="00BD7795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税务资料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申报表的截止日期</w:t>
      </w:r>
    </w:p>
    <w:p w14:paraId="143B61ED" w14:textId="323F5A56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付款人必须在2023年1月31日之前向收款人提供</w:t>
      </w:r>
      <w:r w:rsidR="008B7D2C">
        <w:rPr>
          <w:rFonts w:ascii="Microsoft YaHei" w:eastAsia="Microsoft YaHei" w:hAnsi="Microsoft YaHei" w:hint="eastAsia"/>
          <w:sz w:val="20"/>
          <w:szCs w:val="20"/>
          <w:lang w:eastAsia="zh-CN"/>
        </w:rPr>
        <w:t>大多数的税务资料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申报表。例外情况</w:t>
      </w:r>
      <w:r w:rsidR="008B7D2C">
        <w:rPr>
          <w:rFonts w:ascii="Microsoft YaHei" w:eastAsia="Microsoft YaHei" w:hAnsi="Microsoft YaHei" w:hint="eastAsia"/>
          <w:sz w:val="20"/>
          <w:szCs w:val="20"/>
          <w:lang w:eastAsia="zh-CN"/>
        </w:rPr>
        <w:t>请参考税务资料申报表指南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，从</w:t>
      </w:r>
      <w:hyperlink r:id="rId17" w:history="1">
        <w:r w:rsidR="008B7D2C" w:rsidRPr="008B7D2C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某些税务资料申报表的一般说明（英文）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 xml:space="preserve"> (2022) </w:t>
      </w:r>
      <w:r w:rsidR="008B7D2C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第26页开始。</w:t>
      </w:r>
    </w:p>
    <w:p w14:paraId="45287240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BB3E115" w14:textId="4E3796AB" w:rsidR="005B1469" w:rsidRPr="00A2303B" w:rsidRDefault="00BD7795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税务资料申报表</w:t>
      </w:r>
      <w:r w:rsidR="005B1469"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延期</w:t>
      </w:r>
      <w:r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申报</w:t>
      </w:r>
    </w:p>
    <w:p w14:paraId="7ECEC8AD" w14:textId="33C925F5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付款人</w:t>
      </w:r>
      <w:r w:rsidR="00F326C7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提交上述任</w:t>
      </w:r>
      <w:r w:rsidR="00F326C7">
        <w:rPr>
          <w:rFonts w:ascii="Microsoft YaHei" w:eastAsia="Microsoft YaHei" w:hAnsi="Microsoft YaHei" w:hint="eastAsia"/>
          <w:sz w:val="20"/>
          <w:szCs w:val="20"/>
          <w:lang w:eastAsia="zh-CN"/>
        </w:rPr>
        <w:t>一税务资料</w:t>
      </w:r>
      <w:r w:rsidR="00F326C7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</w:t>
      </w:r>
      <w:r w:rsidR="00F326C7">
        <w:rPr>
          <w:rFonts w:ascii="Microsoft YaHei" w:eastAsia="Microsoft YaHei" w:hAnsi="Microsoft YaHei" w:hint="eastAsia"/>
          <w:sz w:val="20"/>
          <w:szCs w:val="20"/>
          <w:lang w:eastAsia="zh-CN"/>
        </w:rPr>
        <w:t>，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可以</w:t>
      </w:r>
      <w:r w:rsidR="00F326C7">
        <w:rPr>
          <w:rFonts w:ascii="Microsoft YaHei" w:eastAsia="Microsoft YaHei" w:hAnsi="Microsoft YaHei" w:hint="eastAsia"/>
          <w:sz w:val="20"/>
          <w:szCs w:val="20"/>
          <w:lang w:eastAsia="zh-CN"/>
        </w:rPr>
        <w:t>通过</w:t>
      </w:r>
      <w:r w:rsidR="00F326C7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提交</w:t>
      </w:r>
      <w:hyperlink r:id="rId18" w:history="1">
        <w:r w:rsidR="00F326C7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表格8809，税务资料申报表延期提交申请（英文）</w:t>
        </w:r>
      </w:hyperlink>
      <w:r w:rsidR="00F326C7">
        <w:rPr>
          <w:rFonts w:ascii="Microsoft YaHei" w:eastAsia="Microsoft YaHei" w:hAnsi="Microsoft YaHei" w:hint="eastAsia"/>
          <w:sz w:val="20"/>
          <w:szCs w:val="20"/>
          <w:lang w:eastAsia="zh-CN"/>
        </w:rPr>
        <w:t>，来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申请30天的延期。延期通常是自动的，但</w:t>
      </w:r>
      <w:r w:rsidR="00F326C7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1099-NEC除外。付款人如果需要30天延期来提交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1099-NEC，必须满足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8809第7行中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所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列的标准之一。如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8809的说明中所述，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或可取得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额外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的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30天</w:t>
      </w:r>
      <w:r w:rsidR="004D6F8C">
        <w:rPr>
          <w:rFonts w:ascii="Microsoft YaHei" w:eastAsia="Microsoft YaHei" w:hAnsi="Microsoft YaHei" w:hint="eastAsia"/>
          <w:sz w:val="20"/>
          <w:szCs w:val="20"/>
          <w:lang w:eastAsia="zh-CN"/>
        </w:rPr>
        <w:t>延期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5DF5A42F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3A88B59" w14:textId="6AF07670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所有表格上的雇主</w:t>
      </w:r>
      <w:r w:rsidR="00BD7795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身份</w:t>
      </w: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识别号码相同</w:t>
      </w:r>
    </w:p>
    <w:p w14:paraId="63F69ADD" w14:textId="22EA8135" w:rsidR="005B1469" w:rsidRPr="00A2303B" w:rsidRDefault="00B77B01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税务资料申报表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和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表格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945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提交时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必须有相同的</w:t>
      </w:r>
      <w:r>
        <w:rPr>
          <w:rFonts w:ascii="Microsoft YaHei" w:eastAsia="Microsoft YaHei" w:hAnsi="Microsoft YaHei" w:hint="eastAsia"/>
          <w:sz w:val="20"/>
          <w:szCs w:val="20"/>
          <w:lang w:eastAsia="zh-CN"/>
        </w:rPr>
        <w:t>雇主身份识别号码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。这也是对第三方的要求，例如代表另一付款人提交的会计师或代理人。使用不一致的雇主</w:t>
      </w:r>
      <w:r w:rsidR="00295BE8">
        <w:rPr>
          <w:rFonts w:ascii="Microsoft YaHei" w:eastAsia="Microsoft YaHei" w:hAnsi="Microsoft YaHei" w:hint="eastAsia"/>
          <w:sz w:val="20"/>
          <w:szCs w:val="20"/>
          <w:lang w:eastAsia="zh-CN"/>
        </w:rPr>
        <w:t>身份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识别号码提交申报表可能会导致处理延迟和</w:t>
      </w:r>
      <w:r w:rsidR="003C5D92">
        <w:rPr>
          <w:rFonts w:ascii="Microsoft YaHei" w:eastAsia="Microsoft YaHei" w:hAnsi="Microsoft YaHei" w:hint="eastAsia"/>
          <w:sz w:val="20"/>
          <w:szCs w:val="20"/>
          <w:lang w:eastAsia="zh-CN"/>
        </w:rPr>
        <w:t>执行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通知，并可能导致</w:t>
      </w:r>
      <w:r w:rsidR="00295BE8">
        <w:rPr>
          <w:rFonts w:ascii="Microsoft YaHei" w:eastAsia="Microsoft YaHei" w:hAnsi="Microsoft YaHei" w:hint="eastAsia"/>
          <w:sz w:val="20"/>
          <w:szCs w:val="20"/>
          <w:lang w:eastAsia="zh-CN"/>
        </w:rPr>
        <w:t>罚款的征收</w:t>
      </w:r>
      <w:r w:rsidR="005B1469"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069FFFB5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43217A0D" w14:textId="77777777" w:rsidR="005B1469" w:rsidRPr="00A2303B" w:rsidRDefault="005B1469" w:rsidP="005B1469">
      <w:pPr>
        <w:rPr>
          <w:rFonts w:ascii="Microsoft YaHei" w:eastAsia="Microsoft YaHei" w:hAnsi="Microsoft YaHei"/>
          <w:b/>
          <w:bCs/>
          <w:color w:val="002C4E" w:themeColor="accent1" w:themeShade="80"/>
          <w:sz w:val="24"/>
          <w:szCs w:val="24"/>
          <w:lang w:eastAsia="zh-CN"/>
        </w:rPr>
      </w:pPr>
      <w:r w:rsidRPr="00A2303B">
        <w:rPr>
          <w:rFonts w:ascii="Microsoft YaHei" w:eastAsia="Microsoft YaHei" w:hAnsi="Microsoft YaHei" w:hint="eastAsia"/>
          <w:b/>
          <w:bCs/>
          <w:color w:val="002C4E" w:themeColor="accent1" w:themeShade="80"/>
          <w:sz w:val="24"/>
          <w:szCs w:val="24"/>
          <w:lang w:eastAsia="zh-CN"/>
        </w:rPr>
        <w:t>电子申报</w:t>
      </w:r>
    </w:p>
    <w:p w14:paraId="76542082" w14:textId="5182037F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国税局强烈鼓励电子申报，</w:t>
      </w:r>
      <w:r w:rsidR="007F303C">
        <w:rPr>
          <w:rFonts w:ascii="Microsoft YaHei" w:eastAsia="Microsoft YaHei" w:hAnsi="Microsoft YaHei" w:hint="eastAsia"/>
          <w:sz w:val="20"/>
          <w:szCs w:val="20"/>
          <w:lang w:eastAsia="zh-CN"/>
        </w:rPr>
        <w:t>即便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可以使用纸质申报。如果纳税人提交了250份或更多任一类型的</w:t>
      </w:r>
      <w:r w:rsidR="007F303C">
        <w:rPr>
          <w:rFonts w:ascii="Microsoft YaHei" w:eastAsia="Microsoft YaHei" w:hAnsi="Microsoft YaHei" w:hint="eastAsia"/>
          <w:sz w:val="20"/>
          <w:szCs w:val="20"/>
          <w:lang w:eastAsia="zh-CN"/>
        </w:rPr>
        <w:t>税务信息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申报表，则必须进行电子申报。电子申报是最安全、最准确的申报方式，可以节省纳税人时间并防止</w:t>
      </w:r>
      <w:r w:rsidR="007F303C">
        <w:rPr>
          <w:rFonts w:ascii="Microsoft YaHei" w:eastAsia="Microsoft YaHei" w:hAnsi="Microsoft YaHei" w:hint="eastAsia"/>
          <w:sz w:val="20"/>
          <w:szCs w:val="20"/>
          <w:lang w:eastAsia="zh-CN"/>
        </w:rPr>
        <w:t>税表处理延迟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。</w:t>
      </w:r>
    </w:p>
    <w:p w14:paraId="147008A0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29079D18" w14:textId="47088C0C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2023年1月</w:t>
      </w:r>
      <w:r w:rsidR="00354A17">
        <w:rPr>
          <w:rFonts w:ascii="Microsoft YaHei" w:eastAsia="Microsoft YaHei" w:hAnsi="Microsoft YaHei"/>
          <w:sz w:val="20"/>
          <w:szCs w:val="20"/>
          <w:lang w:eastAsia="zh-CN"/>
        </w:rPr>
        <w:t>23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日，国税局推出了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适用于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任何1099表格的免费电子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申报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服务。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税务资料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</w:t>
      </w:r>
      <w:r w:rsidR="00A54D47">
        <w:rPr>
          <w:rFonts w:ascii="Microsoft YaHei" w:eastAsia="Microsoft YaHei" w:hAnsi="Microsoft YaHei" w:hint="eastAsia"/>
          <w:sz w:val="20"/>
          <w:szCs w:val="20"/>
          <w:lang w:eastAsia="zh-CN"/>
        </w:rPr>
        <w:t>接收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系统（IRIS）是一个基于网络的平台，准确、方便、易于使用、安全，并且不需要任何额外的软件。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请更多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了解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利用</w:t>
      </w:r>
      <w:hyperlink r:id="rId19" w:history="1">
        <w:r w:rsidR="00900134" w:rsidRPr="00900134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IRIS（英文）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及其功能</w:t>
      </w:r>
      <w:r w:rsidR="00900134">
        <w:rPr>
          <w:rFonts w:ascii="Microsoft YaHei" w:eastAsia="Microsoft YaHei" w:hAnsi="Microsoft YaHei" w:hint="eastAsia"/>
          <w:sz w:val="20"/>
          <w:szCs w:val="20"/>
          <w:lang w:eastAsia="zh-CN"/>
        </w:rPr>
        <w:t>来电子提交税务资料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申报表。</w:t>
      </w:r>
    </w:p>
    <w:p w14:paraId="242279B0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59A311DA" w14:textId="53419619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如需有关电子申报信息申报表的帮助，请查看</w:t>
      </w:r>
      <w:hyperlink r:id="rId20" w:history="1">
        <w:r w:rsidR="00BE1579" w:rsidRPr="00BE157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第</w:t>
        </w:r>
        <w:r w:rsidR="00BE1579" w:rsidRPr="00BE1579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1220号出版物（英文）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和</w:t>
      </w:r>
      <w:hyperlink r:id="rId21" w:history="1">
        <w:r w:rsidR="00BE1579" w:rsidRPr="00BE1579">
          <w:rPr>
            <w:rStyle w:val="Hyperlink"/>
            <w:rFonts w:ascii="Microsoft YaHei" w:eastAsia="Microsoft YaHei" w:hAnsi="Microsoft YaHei"/>
            <w:sz w:val="20"/>
            <w:szCs w:val="20"/>
            <w:lang w:eastAsia="zh-CN"/>
          </w:rPr>
          <w:t>irs.gov（英文）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上的</w:t>
      </w:r>
      <w:hyperlink r:id="rId22" w:history="1">
        <w:r w:rsidR="00BE1579" w:rsidRPr="00BE1579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电子提交税务资料申报表（英文）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页面。</w:t>
      </w:r>
    </w:p>
    <w:p w14:paraId="5FF0CBE2" w14:textId="77777777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</w:p>
    <w:p w14:paraId="33CA8853" w14:textId="32E4D0CD" w:rsidR="005B1469" w:rsidRPr="00A2303B" w:rsidRDefault="005B1469" w:rsidP="005B1469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有关</w:t>
      </w:r>
      <w:r w:rsidR="00560A82">
        <w:rPr>
          <w:rFonts w:ascii="Microsoft YaHei" w:eastAsia="Microsoft YaHei" w:hAnsi="Microsoft YaHei" w:hint="eastAsia"/>
          <w:sz w:val="20"/>
          <w:szCs w:val="20"/>
          <w:lang w:eastAsia="zh-CN"/>
        </w:rPr>
        <w:t>电子申报表格</w:t>
      </w:r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945的更多信息，请参阅</w:t>
      </w:r>
      <w:hyperlink r:id="rId23" w:history="1">
        <w:r w:rsidRPr="00560A82">
          <w:rPr>
            <w:rStyle w:val="Hyperlink"/>
            <w:rFonts w:ascii="Microsoft YaHei" w:eastAsia="Microsoft YaHei" w:hAnsi="Microsoft YaHei" w:hint="eastAsia"/>
            <w:sz w:val="20"/>
            <w:szCs w:val="20"/>
            <w:lang w:eastAsia="zh-CN"/>
          </w:rPr>
          <w:t>电子申报就业税表</w:t>
        </w:r>
      </w:hyperlink>
      <w:r w:rsidRPr="00A2303B">
        <w:rPr>
          <w:rFonts w:ascii="Microsoft YaHei" w:eastAsia="Microsoft YaHei" w:hAnsi="Microsoft YaHei" w:hint="eastAsia"/>
          <w:sz w:val="20"/>
          <w:szCs w:val="20"/>
          <w:lang w:eastAsia="zh-CN"/>
        </w:rPr>
        <w:t>页面。</w:t>
      </w:r>
    </w:p>
    <w:p w14:paraId="55969DFD" w14:textId="7762A716" w:rsidR="0073336B" w:rsidRPr="005B1469" w:rsidRDefault="0073336B" w:rsidP="005B1469">
      <w:pPr>
        <w:rPr>
          <w:lang w:eastAsia="zh-CN"/>
        </w:rPr>
      </w:pPr>
    </w:p>
    <w:sectPr w:rsidR="0073336B" w:rsidRPr="005B1469" w:rsidSect="00E77C5B"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1872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5C13" w14:textId="77777777" w:rsidR="00F31432" w:rsidRDefault="00F31432">
      <w:r>
        <w:separator/>
      </w:r>
    </w:p>
    <w:p w14:paraId="7DF33584" w14:textId="77777777" w:rsidR="00F31432" w:rsidRDefault="00F31432"/>
  </w:endnote>
  <w:endnote w:type="continuationSeparator" w:id="0">
    <w:p w14:paraId="50C9B4F7" w14:textId="77777777" w:rsidR="00F31432" w:rsidRDefault="00F31432">
      <w:r>
        <w:continuationSeparator/>
      </w:r>
    </w:p>
    <w:p w14:paraId="653042C4" w14:textId="77777777" w:rsidR="00F31432" w:rsidRDefault="00F31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34B4" w14:textId="77777777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965E76">
      <w:rPr>
        <w:noProof/>
      </w:rPr>
      <w:t>3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F425" w14:textId="77777777" w:rsidR="00F31432" w:rsidRDefault="00F31432">
      <w:r>
        <w:separator/>
      </w:r>
    </w:p>
    <w:p w14:paraId="75611F88" w14:textId="77777777" w:rsidR="00F31432" w:rsidRDefault="00F31432"/>
  </w:footnote>
  <w:footnote w:type="continuationSeparator" w:id="0">
    <w:p w14:paraId="6747D801" w14:textId="77777777" w:rsidR="00F31432" w:rsidRDefault="00F31432">
      <w:r>
        <w:continuationSeparator/>
      </w:r>
    </w:p>
    <w:p w14:paraId="4A369619" w14:textId="77777777" w:rsidR="00F31432" w:rsidRDefault="00F31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A8BD" w14:textId="1A24818D" w:rsidR="009A0D33" w:rsidRDefault="00E77C5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528CEB" wp14:editId="35A6FD11">
          <wp:simplePos x="0" y="0"/>
          <wp:positionH relativeFrom="page">
            <wp:posOffset>0</wp:posOffset>
          </wp:positionH>
          <wp:positionV relativeFrom="margin">
            <wp:posOffset>-1402080</wp:posOffset>
          </wp:positionV>
          <wp:extent cx="7762875" cy="124142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88"/>
    <w:multiLevelType w:val="hybridMultilevel"/>
    <w:tmpl w:val="631E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4DB8"/>
    <w:multiLevelType w:val="hybridMultilevel"/>
    <w:tmpl w:val="8572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2BA"/>
    <w:multiLevelType w:val="hybridMultilevel"/>
    <w:tmpl w:val="A704B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F76ED"/>
    <w:multiLevelType w:val="hybridMultilevel"/>
    <w:tmpl w:val="DA62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5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6" w15:restartNumberingAfterBreak="0">
    <w:nsid w:val="20F63A06"/>
    <w:multiLevelType w:val="multilevel"/>
    <w:tmpl w:val="6A6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07362"/>
    <w:multiLevelType w:val="multilevel"/>
    <w:tmpl w:val="7D7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D119B"/>
    <w:multiLevelType w:val="multilevel"/>
    <w:tmpl w:val="2AD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10" w15:restartNumberingAfterBreak="0">
    <w:nsid w:val="391E73B7"/>
    <w:multiLevelType w:val="multilevel"/>
    <w:tmpl w:val="2588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65103"/>
    <w:multiLevelType w:val="hybridMultilevel"/>
    <w:tmpl w:val="76E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3" w15:restartNumberingAfterBreak="0">
    <w:nsid w:val="596C404F"/>
    <w:multiLevelType w:val="hybridMultilevel"/>
    <w:tmpl w:val="CB06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5038B"/>
    <w:multiLevelType w:val="hybridMultilevel"/>
    <w:tmpl w:val="43DA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7D8952D4"/>
    <w:multiLevelType w:val="hybridMultilevel"/>
    <w:tmpl w:val="8B8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C41B4"/>
    <w:multiLevelType w:val="multilevel"/>
    <w:tmpl w:val="D44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105656">
    <w:abstractNumId w:val="15"/>
  </w:num>
  <w:num w:numId="2" w16cid:durableId="1281230930">
    <w:abstractNumId w:val="5"/>
  </w:num>
  <w:num w:numId="3" w16cid:durableId="618026083">
    <w:abstractNumId w:val="9"/>
  </w:num>
  <w:num w:numId="4" w16cid:durableId="1216309397">
    <w:abstractNumId w:val="4"/>
  </w:num>
  <w:num w:numId="5" w16cid:durableId="1402750448">
    <w:abstractNumId w:val="12"/>
  </w:num>
  <w:num w:numId="6" w16cid:durableId="1348680485">
    <w:abstractNumId w:val="3"/>
  </w:num>
  <w:num w:numId="7" w16cid:durableId="409500346">
    <w:abstractNumId w:val="14"/>
  </w:num>
  <w:num w:numId="8" w16cid:durableId="1567639982">
    <w:abstractNumId w:val="11"/>
  </w:num>
  <w:num w:numId="9" w16cid:durableId="152844286">
    <w:abstractNumId w:val="8"/>
  </w:num>
  <w:num w:numId="10" w16cid:durableId="410195997">
    <w:abstractNumId w:val="13"/>
  </w:num>
  <w:num w:numId="11" w16cid:durableId="521087026">
    <w:abstractNumId w:val="0"/>
  </w:num>
  <w:num w:numId="12" w16cid:durableId="1254902572">
    <w:abstractNumId w:val="6"/>
  </w:num>
  <w:num w:numId="13" w16cid:durableId="104933242">
    <w:abstractNumId w:val="17"/>
  </w:num>
  <w:num w:numId="14" w16cid:durableId="272784908">
    <w:abstractNumId w:val="10"/>
  </w:num>
  <w:num w:numId="15" w16cid:durableId="1973947115">
    <w:abstractNumId w:val="7"/>
  </w:num>
  <w:num w:numId="16" w16cid:durableId="576131877">
    <w:abstractNumId w:val="2"/>
  </w:num>
  <w:num w:numId="17" w16cid:durableId="1392078267">
    <w:abstractNumId w:val="1"/>
  </w:num>
  <w:num w:numId="18" w16cid:durableId="182970960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5"/>
    <w:rsid w:val="00001500"/>
    <w:rsid w:val="00022182"/>
    <w:rsid w:val="000264C1"/>
    <w:rsid w:val="00044DE5"/>
    <w:rsid w:val="0004595B"/>
    <w:rsid w:val="00045A03"/>
    <w:rsid w:val="000501AF"/>
    <w:rsid w:val="0005411A"/>
    <w:rsid w:val="000653C6"/>
    <w:rsid w:val="00067E9E"/>
    <w:rsid w:val="000715A1"/>
    <w:rsid w:val="00074958"/>
    <w:rsid w:val="00076F14"/>
    <w:rsid w:val="00077002"/>
    <w:rsid w:val="00085C23"/>
    <w:rsid w:val="000878D1"/>
    <w:rsid w:val="000B0DA4"/>
    <w:rsid w:val="000B1E76"/>
    <w:rsid w:val="000C0759"/>
    <w:rsid w:val="000C6627"/>
    <w:rsid w:val="000D018A"/>
    <w:rsid w:val="000F595A"/>
    <w:rsid w:val="00103AE7"/>
    <w:rsid w:val="001060CD"/>
    <w:rsid w:val="00112D65"/>
    <w:rsid w:val="00115442"/>
    <w:rsid w:val="00120303"/>
    <w:rsid w:val="0012196D"/>
    <w:rsid w:val="001357DE"/>
    <w:rsid w:val="001431DE"/>
    <w:rsid w:val="00144480"/>
    <w:rsid w:val="001600DD"/>
    <w:rsid w:val="00177390"/>
    <w:rsid w:val="00185D28"/>
    <w:rsid w:val="00186C27"/>
    <w:rsid w:val="001906AC"/>
    <w:rsid w:val="001A645E"/>
    <w:rsid w:val="001B4A4C"/>
    <w:rsid w:val="001C68D5"/>
    <w:rsid w:val="001C7A89"/>
    <w:rsid w:val="001D0034"/>
    <w:rsid w:val="001D0589"/>
    <w:rsid w:val="001D1D4D"/>
    <w:rsid w:val="001D3A69"/>
    <w:rsid w:val="001D4F2F"/>
    <w:rsid w:val="001E3A33"/>
    <w:rsid w:val="001E64E3"/>
    <w:rsid w:val="001E683A"/>
    <w:rsid w:val="0020006B"/>
    <w:rsid w:val="00202F98"/>
    <w:rsid w:val="00203522"/>
    <w:rsid w:val="00204F1C"/>
    <w:rsid w:val="00206930"/>
    <w:rsid w:val="00207E7F"/>
    <w:rsid w:val="002128AD"/>
    <w:rsid w:val="002143F9"/>
    <w:rsid w:val="002227F5"/>
    <w:rsid w:val="00235C7E"/>
    <w:rsid w:val="002370EC"/>
    <w:rsid w:val="00237200"/>
    <w:rsid w:val="00244936"/>
    <w:rsid w:val="002503D0"/>
    <w:rsid w:val="0026211F"/>
    <w:rsid w:val="00263258"/>
    <w:rsid w:val="00272B58"/>
    <w:rsid w:val="00277455"/>
    <w:rsid w:val="00283E02"/>
    <w:rsid w:val="002871D7"/>
    <w:rsid w:val="002910E5"/>
    <w:rsid w:val="0029547F"/>
    <w:rsid w:val="00295BE8"/>
    <w:rsid w:val="002A10C9"/>
    <w:rsid w:val="002A2917"/>
    <w:rsid w:val="002A542D"/>
    <w:rsid w:val="002B1140"/>
    <w:rsid w:val="002D0FBB"/>
    <w:rsid w:val="002D2529"/>
    <w:rsid w:val="002D26CE"/>
    <w:rsid w:val="002D2DAB"/>
    <w:rsid w:val="002E02A6"/>
    <w:rsid w:val="002E12A9"/>
    <w:rsid w:val="002E1C5E"/>
    <w:rsid w:val="002E3D06"/>
    <w:rsid w:val="002E7463"/>
    <w:rsid w:val="002F0769"/>
    <w:rsid w:val="00302FA2"/>
    <w:rsid w:val="00310517"/>
    <w:rsid w:val="003200F4"/>
    <w:rsid w:val="003207CB"/>
    <w:rsid w:val="0033542F"/>
    <w:rsid w:val="00341A37"/>
    <w:rsid w:val="00343000"/>
    <w:rsid w:val="003432C6"/>
    <w:rsid w:val="00347839"/>
    <w:rsid w:val="0035426F"/>
    <w:rsid w:val="00354493"/>
    <w:rsid w:val="00354A17"/>
    <w:rsid w:val="00354FD0"/>
    <w:rsid w:val="0035526A"/>
    <w:rsid w:val="003601FA"/>
    <w:rsid w:val="00361375"/>
    <w:rsid w:val="003629ED"/>
    <w:rsid w:val="00363713"/>
    <w:rsid w:val="003666A5"/>
    <w:rsid w:val="00367C3D"/>
    <w:rsid w:val="00373882"/>
    <w:rsid w:val="00374100"/>
    <w:rsid w:val="00391428"/>
    <w:rsid w:val="0039202C"/>
    <w:rsid w:val="00397347"/>
    <w:rsid w:val="00397CB3"/>
    <w:rsid w:val="003A02D3"/>
    <w:rsid w:val="003A2854"/>
    <w:rsid w:val="003A30FC"/>
    <w:rsid w:val="003A7266"/>
    <w:rsid w:val="003B31BF"/>
    <w:rsid w:val="003B5737"/>
    <w:rsid w:val="003B63A3"/>
    <w:rsid w:val="003B6B92"/>
    <w:rsid w:val="003C04A9"/>
    <w:rsid w:val="003C1B95"/>
    <w:rsid w:val="003C32CD"/>
    <w:rsid w:val="003C3336"/>
    <w:rsid w:val="003C5D92"/>
    <w:rsid w:val="003D004C"/>
    <w:rsid w:val="003D574A"/>
    <w:rsid w:val="003D7969"/>
    <w:rsid w:val="003E094C"/>
    <w:rsid w:val="003E3A0C"/>
    <w:rsid w:val="003E4275"/>
    <w:rsid w:val="003E637D"/>
    <w:rsid w:val="003E6B5E"/>
    <w:rsid w:val="003F1B75"/>
    <w:rsid w:val="003F450A"/>
    <w:rsid w:val="003F6116"/>
    <w:rsid w:val="003F7429"/>
    <w:rsid w:val="004112B8"/>
    <w:rsid w:val="0041321E"/>
    <w:rsid w:val="00417497"/>
    <w:rsid w:val="00421BA5"/>
    <w:rsid w:val="004318F5"/>
    <w:rsid w:val="00433A3C"/>
    <w:rsid w:val="00437880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2EC6"/>
    <w:rsid w:val="00476449"/>
    <w:rsid w:val="00492118"/>
    <w:rsid w:val="004A1401"/>
    <w:rsid w:val="004A3C2E"/>
    <w:rsid w:val="004A51AC"/>
    <w:rsid w:val="004A6B97"/>
    <w:rsid w:val="004B104C"/>
    <w:rsid w:val="004B7C64"/>
    <w:rsid w:val="004C31CD"/>
    <w:rsid w:val="004C598A"/>
    <w:rsid w:val="004C7628"/>
    <w:rsid w:val="004D28CB"/>
    <w:rsid w:val="004D4E49"/>
    <w:rsid w:val="004D6F8C"/>
    <w:rsid w:val="004D7311"/>
    <w:rsid w:val="004E5C81"/>
    <w:rsid w:val="004E7DA0"/>
    <w:rsid w:val="004F553B"/>
    <w:rsid w:val="0050197A"/>
    <w:rsid w:val="0050738A"/>
    <w:rsid w:val="005079DA"/>
    <w:rsid w:val="00515799"/>
    <w:rsid w:val="005201AA"/>
    <w:rsid w:val="005244CF"/>
    <w:rsid w:val="005311D8"/>
    <w:rsid w:val="0053283E"/>
    <w:rsid w:val="00534D82"/>
    <w:rsid w:val="00535E13"/>
    <w:rsid w:val="005426BD"/>
    <w:rsid w:val="00543E8A"/>
    <w:rsid w:val="00544CEC"/>
    <w:rsid w:val="00550599"/>
    <w:rsid w:val="0055089F"/>
    <w:rsid w:val="00556ACA"/>
    <w:rsid w:val="005578DE"/>
    <w:rsid w:val="00560A82"/>
    <w:rsid w:val="005626E9"/>
    <w:rsid w:val="00567D98"/>
    <w:rsid w:val="0058298A"/>
    <w:rsid w:val="00584578"/>
    <w:rsid w:val="005850D9"/>
    <w:rsid w:val="0059406E"/>
    <w:rsid w:val="005A2917"/>
    <w:rsid w:val="005A401E"/>
    <w:rsid w:val="005A6176"/>
    <w:rsid w:val="005A68B5"/>
    <w:rsid w:val="005A6FFB"/>
    <w:rsid w:val="005B1469"/>
    <w:rsid w:val="005B23B7"/>
    <w:rsid w:val="005B760E"/>
    <w:rsid w:val="005C69F9"/>
    <w:rsid w:val="005C6B7A"/>
    <w:rsid w:val="005C6CE2"/>
    <w:rsid w:val="005D19CC"/>
    <w:rsid w:val="005E416B"/>
    <w:rsid w:val="005E4DD5"/>
    <w:rsid w:val="005E652E"/>
    <w:rsid w:val="005F2A52"/>
    <w:rsid w:val="006025E1"/>
    <w:rsid w:val="00611982"/>
    <w:rsid w:val="00613E6D"/>
    <w:rsid w:val="0061599D"/>
    <w:rsid w:val="00616D27"/>
    <w:rsid w:val="006176A7"/>
    <w:rsid w:val="00630FFD"/>
    <w:rsid w:val="006329CC"/>
    <w:rsid w:val="00632F0F"/>
    <w:rsid w:val="00635A04"/>
    <w:rsid w:val="006361FE"/>
    <w:rsid w:val="006425A5"/>
    <w:rsid w:val="0064279A"/>
    <w:rsid w:val="0064525B"/>
    <w:rsid w:val="00645A8C"/>
    <w:rsid w:val="00655A73"/>
    <w:rsid w:val="00656C21"/>
    <w:rsid w:val="00665AB3"/>
    <w:rsid w:val="0066644B"/>
    <w:rsid w:val="00675EFB"/>
    <w:rsid w:val="0068021F"/>
    <w:rsid w:val="00680416"/>
    <w:rsid w:val="00682C2A"/>
    <w:rsid w:val="00683C1F"/>
    <w:rsid w:val="00693A90"/>
    <w:rsid w:val="00697C13"/>
    <w:rsid w:val="006A049B"/>
    <w:rsid w:val="006A0989"/>
    <w:rsid w:val="006A70E5"/>
    <w:rsid w:val="006B0DDD"/>
    <w:rsid w:val="006B680E"/>
    <w:rsid w:val="006B6A3F"/>
    <w:rsid w:val="006C032C"/>
    <w:rsid w:val="006C2209"/>
    <w:rsid w:val="006C7027"/>
    <w:rsid w:val="006D3E51"/>
    <w:rsid w:val="006D5D66"/>
    <w:rsid w:val="006E65BC"/>
    <w:rsid w:val="006F2C50"/>
    <w:rsid w:val="006F2F38"/>
    <w:rsid w:val="006F3919"/>
    <w:rsid w:val="00700851"/>
    <w:rsid w:val="00705ED8"/>
    <w:rsid w:val="007241DC"/>
    <w:rsid w:val="00727BC1"/>
    <w:rsid w:val="0073336B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8118B"/>
    <w:rsid w:val="00785FFE"/>
    <w:rsid w:val="00787D10"/>
    <w:rsid w:val="00791318"/>
    <w:rsid w:val="0079346F"/>
    <w:rsid w:val="0079503B"/>
    <w:rsid w:val="007C139C"/>
    <w:rsid w:val="007C39E7"/>
    <w:rsid w:val="007C70B4"/>
    <w:rsid w:val="007D010D"/>
    <w:rsid w:val="007D03E1"/>
    <w:rsid w:val="007D0FA2"/>
    <w:rsid w:val="007D4F21"/>
    <w:rsid w:val="007E1290"/>
    <w:rsid w:val="007F2D9F"/>
    <w:rsid w:val="007F2F2C"/>
    <w:rsid w:val="007F303C"/>
    <w:rsid w:val="007F6493"/>
    <w:rsid w:val="008006C3"/>
    <w:rsid w:val="00800D1E"/>
    <w:rsid w:val="008035B4"/>
    <w:rsid w:val="00805879"/>
    <w:rsid w:val="0081405E"/>
    <w:rsid w:val="00830653"/>
    <w:rsid w:val="008320AF"/>
    <w:rsid w:val="0083218B"/>
    <w:rsid w:val="008328CB"/>
    <w:rsid w:val="00833351"/>
    <w:rsid w:val="008359F0"/>
    <w:rsid w:val="00845D0A"/>
    <w:rsid w:val="0086581F"/>
    <w:rsid w:val="00866FC5"/>
    <w:rsid w:val="008765EA"/>
    <w:rsid w:val="008857E5"/>
    <w:rsid w:val="0089259A"/>
    <w:rsid w:val="008A1F6A"/>
    <w:rsid w:val="008A7175"/>
    <w:rsid w:val="008B1E7C"/>
    <w:rsid w:val="008B7D2C"/>
    <w:rsid w:val="008C186B"/>
    <w:rsid w:val="008C5D9E"/>
    <w:rsid w:val="008C6CC0"/>
    <w:rsid w:val="008D1370"/>
    <w:rsid w:val="008D7BA0"/>
    <w:rsid w:val="008E44C4"/>
    <w:rsid w:val="008E5B2D"/>
    <w:rsid w:val="008F11B9"/>
    <w:rsid w:val="00900134"/>
    <w:rsid w:val="00900A61"/>
    <w:rsid w:val="0090459D"/>
    <w:rsid w:val="009109FE"/>
    <w:rsid w:val="00913C01"/>
    <w:rsid w:val="00923B43"/>
    <w:rsid w:val="0092522A"/>
    <w:rsid w:val="009379E2"/>
    <w:rsid w:val="00950F28"/>
    <w:rsid w:val="009556AA"/>
    <w:rsid w:val="00962462"/>
    <w:rsid w:val="00962E22"/>
    <w:rsid w:val="00963AF2"/>
    <w:rsid w:val="009653DE"/>
    <w:rsid w:val="00965E76"/>
    <w:rsid w:val="0097306D"/>
    <w:rsid w:val="00974904"/>
    <w:rsid w:val="00975850"/>
    <w:rsid w:val="009768E5"/>
    <w:rsid w:val="00977A99"/>
    <w:rsid w:val="00982041"/>
    <w:rsid w:val="00990749"/>
    <w:rsid w:val="00996A6E"/>
    <w:rsid w:val="009A0D33"/>
    <w:rsid w:val="009A1912"/>
    <w:rsid w:val="009A2A02"/>
    <w:rsid w:val="009A431F"/>
    <w:rsid w:val="009B06F1"/>
    <w:rsid w:val="009B2C35"/>
    <w:rsid w:val="009B71E4"/>
    <w:rsid w:val="009D004C"/>
    <w:rsid w:val="009E0577"/>
    <w:rsid w:val="009F0DCD"/>
    <w:rsid w:val="009F5F76"/>
    <w:rsid w:val="00A06F84"/>
    <w:rsid w:val="00A13E6E"/>
    <w:rsid w:val="00A40FB4"/>
    <w:rsid w:val="00A476C2"/>
    <w:rsid w:val="00A508E6"/>
    <w:rsid w:val="00A5129A"/>
    <w:rsid w:val="00A51E26"/>
    <w:rsid w:val="00A534FF"/>
    <w:rsid w:val="00A54D47"/>
    <w:rsid w:val="00A56B6F"/>
    <w:rsid w:val="00A622CD"/>
    <w:rsid w:val="00A71ED5"/>
    <w:rsid w:val="00A806AE"/>
    <w:rsid w:val="00A8107E"/>
    <w:rsid w:val="00A821C5"/>
    <w:rsid w:val="00A84557"/>
    <w:rsid w:val="00A84FBB"/>
    <w:rsid w:val="00A85B7E"/>
    <w:rsid w:val="00A87F51"/>
    <w:rsid w:val="00A93979"/>
    <w:rsid w:val="00A96A57"/>
    <w:rsid w:val="00AB3588"/>
    <w:rsid w:val="00AB54BB"/>
    <w:rsid w:val="00AB626B"/>
    <w:rsid w:val="00AB7D73"/>
    <w:rsid w:val="00AC32A6"/>
    <w:rsid w:val="00AC3BFD"/>
    <w:rsid w:val="00AC3DE2"/>
    <w:rsid w:val="00AC46FD"/>
    <w:rsid w:val="00AD6A15"/>
    <w:rsid w:val="00AE0E3B"/>
    <w:rsid w:val="00AE18DF"/>
    <w:rsid w:val="00AE6F84"/>
    <w:rsid w:val="00AE7FD7"/>
    <w:rsid w:val="00AF6006"/>
    <w:rsid w:val="00AF7E01"/>
    <w:rsid w:val="00B012A0"/>
    <w:rsid w:val="00B01951"/>
    <w:rsid w:val="00B023E3"/>
    <w:rsid w:val="00B03BB6"/>
    <w:rsid w:val="00B12216"/>
    <w:rsid w:val="00B125B5"/>
    <w:rsid w:val="00B15D5B"/>
    <w:rsid w:val="00B26B8D"/>
    <w:rsid w:val="00B32E2F"/>
    <w:rsid w:val="00B330CB"/>
    <w:rsid w:val="00B33E7E"/>
    <w:rsid w:val="00B63F1C"/>
    <w:rsid w:val="00B7503C"/>
    <w:rsid w:val="00B77B01"/>
    <w:rsid w:val="00B80771"/>
    <w:rsid w:val="00B84086"/>
    <w:rsid w:val="00B86332"/>
    <w:rsid w:val="00B91840"/>
    <w:rsid w:val="00B9486D"/>
    <w:rsid w:val="00B95666"/>
    <w:rsid w:val="00B96C47"/>
    <w:rsid w:val="00BA676C"/>
    <w:rsid w:val="00BB0BE7"/>
    <w:rsid w:val="00BB6BBF"/>
    <w:rsid w:val="00BD7795"/>
    <w:rsid w:val="00BE1579"/>
    <w:rsid w:val="00BE3FBD"/>
    <w:rsid w:val="00BF09AF"/>
    <w:rsid w:val="00BF6DB9"/>
    <w:rsid w:val="00BF71FB"/>
    <w:rsid w:val="00C02818"/>
    <w:rsid w:val="00C053BE"/>
    <w:rsid w:val="00C05824"/>
    <w:rsid w:val="00C21096"/>
    <w:rsid w:val="00C23295"/>
    <w:rsid w:val="00C37E4B"/>
    <w:rsid w:val="00C45C4F"/>
    <w:rsid w:val="00C52402"/>
    <w:rsid w:val="00C5599E"/>
    <w:rsid w:val="00C57402"/>
    <w:rsid w:val="00C74128"/>
    <w:rsid w:val="00C80479"/>
    <w:rsid w:val="00C9066E"/>
    <w:rsid w:val="00C90BF5"/>
    <w:rsid w:val="00C90DC8"/>
    <w:rsid w:val="00C919AF"/>
    <w:rsid w:val="00C95690"/>
    <w:rsid w:val="00C96101"/>
    <w:rsid w:val="00CA0C29"/>
    <w:rsid w:val="00CB019A"/>
    <w:rsid w:val="00CB2F2E"/>
    <w:rsid w:val="00CB37F4"/>
    <w:rsid w:val="00CB4366"/>
    <w:rsid w:val="00CB480C"/>
    <w:rsid w:val="00CB66B1"/>
    <w:rsid w:val="00CB76B4"/>
    <w:rsid w:val="00CC2BB2"/>
    <w:rsid w:val="00CD2397"/>
    <w:rsid w:val="00CD3650"/>
    <w:rsid w:val="00CD6489"/>
    <w:rsid w:val="00CD7C6D"/>
    <w:rsid w:val="00CE5643"/>
    <w:rsid w:val="00D013B5"/>
    <w:rsid w:val="00D107D7"/>
    <w:rsid w:val="00D147D1"/>
    <w:rsid w:val="00D15F6E"/>
    <w:rsid w:val="00D17B23"/>
    <w:rsid w:val="00D25970"/>
    <w:rsid w:val="00D33E97"/>
    <w:rsid w:val="00D3749C"/>
    <w:rsid w:val="00D37A92"/>
    <w:rsid w:val="00D45868"/>
    <w:rsid w:val="00D45D81"/>
    <w:rsid w:val="00D512F3"/>
    <w:rsid w:val="00D633D5"/>
    <w:rsid w:val="00D71A98"/>
    <w:rsid w:val="00D72B5A"/>
    <w:rsid w:val="00D747A3"/>
    <w:rsid w:val="00D750DD"/>
    <w:rsid w:val="00D75E77"/>
    <w:rsid w:val="00D80FED"/>
    <w:rsid w:val="00D8326D"/>
    <w:rsid w:val="00D85F12"/>
    <w:rsid w:val="00D94844"/>
    <w:rsid w:val="00D955D8"/>
    <w:rsid w:val="00D95BD7"/>
    <w:rsid w:val="00D962E5"/>
    <w:rsid w:val="00DA73DB"/>
    <w:rsid w:val="00DB4208"/>
    <w:rsid w:val="00DC7C92"/>
    <w:rsid w:val="00DC7DD9"/>
    <w:rsid w:val="00DE0178"/>
    <w:rsid w:val="00DF1524"/>
    <w:rsid w:val="00DF543B"/>
    <w:rsid w:val="00E0610A"/>
    <w:rsid w:val="00E11F5C"/>
    <w:rsid w:val="00E32D43"/>
    <w:rsid w:val="00E41D1F"/>
    <w:rsid w:val="00E4649E"/>
    <w:rsid w:val="00E47322"/>
    <w:rsid w:val="00E551C0"/>
    <w:rsid w:val="00E6647C"/>
    <w:rsid w:val="00E72A3A"/>
    <w:rsid w:val="00E76DD2"/>
    <w:rsid w:val="00E77C5B"/>
    <w:rsid w:val="00E83980"/>
    <w:rsid w:val="00E83E83"/>
    <w:rsid w:val="00E84D34"/>
    <w:rsid w:val="00E8553E"/>
    <w:rsid w:val="00E921DC"/>
    <w:rsid w:val="00E96376"/>
    <w:rsid w:val="00EA6490"/>
    <w:rsid w:val="00EB45D1"/>
    <w:rsid w:val="00EB641E"/>
    <w:rsid w:val="00EB7D1B"/>
    <w:rsid w:val="00EC738E"/>
    <w:rsid w:val="00ED13F7"/>
    <w:rsid w:val="00ED186A"/>
    <w:rsid w:val="00EE4886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3D9A"/>
    <w:rsid w:val="00F142D8"/>
    <w:rsid w:val="00F206F4"/>
    <w:rsid w:val="00F31432"/>
    <w:rsid w:val="00F326C7"/>
    <w:rsid w:val="00F425E3"/>
    <w:rsid w:val="00F47863"/>
    <w:rsid w:val="00F47DE2"/>
    <w:rsid w:val="00F53F06"/>
    <w:rsid w:val="00F5797E"/>
    <w:rsid w:val="00F629B2"/>
    <w:rsid w:val="00F6351B"/>
    <w:rsid w:val="00F7183C"/>
    <w:rsid w:val="00F745D0"/>
    <w:rsid w:val="00F77FDA"/>
    <w:rsid w:val="00F803DC"/>
    <w:rsid w:val="00F83BC8"/>
    <w:rsid w:val="00F86D02"/>
    <w:rsid w:val="00F905E6"/>
    <w:rsid w:val="00F94D74"/>
    <w:rsid w:val="00F97EBA"/>
    <w:rsid w:val="00FA0F44"/>
    <w:rsid w:val="00FA55D3"/>
    <w:rsid w:val="00FB1273"/>
    <w:rsid w:val="00FB18B9"/>
    <w:rsid w:val="00FC0054"/>
    <w:rsid w:val="00FC2A02"/>
    <w:rsid w:val="00FC3FB0"/>
    <w:rsid w:val="00FD2820"/>
    <w:rsid w:val="00FD4BC4"/>
    <w:rsid w:val="00FE0896"/>
    <w:rsid w:val="00FE64F4"/>
    <w:rsid w:val="00FE6C3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F94D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6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8D5"/>
    <w:pPr>
      <w:widowControl/>
      <w:autoSpaceDE/>
      <w:autoSpaceDN/>
    </w:pPr>
    <w:rPr>
      <w:rFonts w:eastAsia="Arial" w:cs="Arial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1060CD"/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2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rs.gov/zh-hant/taxtopics/tc307" TargetMode="External"/><Relationship Id="rId18" Type="http://schemas.openxmlformats.org/officeDocument/2006/relationships/hyperlink" Target="https://www.irs.gov/forms-pubs/about-form-8809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rs.gov/e-file-providers/modernized-e-file-program-information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irs.gov/businesses/small-businesses-self-employed/backup-withholding" TargetMode="External"/><Relationship Id="rId17" Type="http://schemas.openxmlformats.org/officeDocument/2006/relationships/hyperlink" Target="https://www.irs.gov/forms-pubs/about-form-109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rs.gov/forms-pubs/about-form-945" TargetMode="External"/><Relationship Id="rId20" Type="http://schemas.openxmlformats.org/officeDocument/2006/relationships/hyperlink" Target="https://www.irs.gov/pub/irs-pdf/p12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rs.gov/forms-pubs/about-publication-15" TargetMode="External"/><Relationship Id="rId23" Type="http://schemas.openxmlformats.org/officeDocument/2006/relationships/hyperlink" Target="https://www.irs.gov/zh-hans/businesses/e-file-employment-tax-forms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rs.gov/filing/e-file-forms-1099-with-iri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rs.gov/pub/irs-pdf/p1281.pdf" TargetMode="External"/><Relationship Id="rId22" Type="http://schemas.openxmlformats.org/officeDocument/2006/relationships/hyperlink" Target="https://www.irs.gov/e-file-providers/filing-information-returns-electronically-fir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A357020D3504FAF659D2C151CE9C3" ma:contentTypeVersion="0" ma:contentTypeDescription="Create a new document." ma:contentTypeScope="" ma:versionID="7e90f8c72ed9212007eedec7369c8b16">
  <xsd:schema xmlns:xsd="http://www.w3.org/2001/XMLSchema" xmlns:xs="http://www.w3.org/2001/XMLSchema" xmlns:p="http://schemas.microsoft.com/office/2006/metadata/properties" xmlns:ns2="fb55bd2e-8941-40f9-acc7-d3933dfdddf3" targetNamespace="http://schemas.microsoft.com/office/2006/metadata/properties" ma:root="true" ma:fieldsID="7ab3727bc284eb73d2cbe43821c46f81" ns2:_="">
    <xsd:import namespace="fb55bd2e-8941-40f9-acc7-d3933dfddd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5bd2e-8941-40f9-acc7-d3933dfddd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55bd2e-8941-40f9-acc7-d3933dfdddf3">EX2NVQ3AX6AD-338566160-18</_dlc_DocId>
    <_dlc_DocIdUrl xmlns="fb55bd2e-8941-40f9-acc7-d3933dfdddf3">
      <Url>https://organization.ds.irsnet.gov/sites/cloc/pcd/_layouts/15/DocIdRedir.aspx?ID=EX2NVQ3AX6AD-338566160-18</Url>
      <Description>EX2NVQ3AX6AD-338566160-18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EFF79-981B-4991-AA83-2D04D921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5bd2e-8941-40f9-acc7-d3933dfd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56DCA-398E-40FA-BC97-A8B26C44CC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18D6E-2D7B-46B7-85B6-00AD32169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AC122-146C-43CA-BB0C-933B92F80AC7}">
  <ds:schemaRefs>
    <ds:schemaRef ds:uri="http://schemas.microsoft.com/office/2006/metadata/properties"/>
    <ds:schemaRef ds:uri="http://schemas.microsoft.com/office/infopath/2007/PartnerControls"/>
    <ds:schemaRef ds:uri="fb55bd2e-8941-40f9-acc7-d3933dfdddf3"/>
  </ds:schemaRefs>
</ds:datastoreItem>
</file>

<file path=customXml/itemProps5.xml><?xml version="1.0" encoding="utf-8"?>
<ds:datastoreItem xmlns:ds="http://schemas.openxmlformats.org/officeDocument/2006/customXml" ds:itemID="{AB686CEB-AA25-4AAC-B552-D31DC0606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Steven Turvey</cp:lastModifiedBy>
  <cp:revision>2</cp:revision>
  <cp:lastPrinted>2019-06-04T14:48:00Z</cp:lastPrinted>
  <dcterms:created xsi:type="dcterms:W3CDTF">2023-01-27T00:07:00Z</dcterms:created>
  <dcterms:modified xsi:type="dcterms:W3CDTF">2023-01-27T00:07:00Z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0x0101007DEA357020D3504FAF659D2C151CE9C3</vt:lpwstr>
  </property>
  <property fmtid="{D5CDD505-2E9C-101B-9397-08002B2CF9AE}" pid="6" name="_dlc_DocIdItemGuid">
    <vt:lpwstr>44d083b3-5ce1-4910-8b02-87cb356533b4</vt:lpwstr>
  </property>
</Properties>
</file>